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40A" w:rsidRPr="007F5A01" w:rsidRDefault="001D540A">
      <w:pPr>
        <w:rPr>
          <w:rFonts w:ascii="宋体" w:eastAsia="宋体" w:hAnsi="宋体" w:cs="楷体"/>
          <w:b/>
          <w:bCs/>
          <w:kern w:val="0"/>
          <w:sz w:val="24"/>
          <w:szCs w:val="24"/>
        </w:rPr>
      </w:pPr>
      <w:r w:rsidRPr="007F5A01">
        <w:rPr>
          <w:rFonts w:ascii="宋体" w:eastAsia="宋体" w:hAnsi="宋体" w:cs="楷体" w:hint="eastAsia"/>
          <w:b/>
          <w:bCs/>
          <w:kern w:val="0"/>
          <w:sz w:val="24"/>
          <w:szCs w:val="24"/>
        </w:rPr>
        <w:t>冷水</w:t>
      </w:r>
      <w:r w:rsidRPr="007F5A01">
        <w:rPr>
          <w:rFonts w:ascii="宋体" w:eastAsia="宋体" w:hAnsi="宋体" w:cs="楷体"/>
          <w:b/>
          <w:bCs/>
          <w:kern w:val="0"/>
          <w:sz w:val="24"/>
          <w:szCs w:val="24"/>
        </w:rPr>
        <w:t>机组</w:t>
      </w:r>
      <w:r w:rsidRPr="007F5A01">
        <w:rPr>
          <w:rFonts w:ascii="宋体" w:eastAsia="宋体" w:hAnsi="宋体" w:cs="楷体" w:hint="eastAsia"/>
          <w:b/>
          <w:bCs/>
          <w:kern w:val="0"/>
          <w:sz w:val="24"/>
          <w:szCs w:val="24"/>
        </w:rPr>
        <w:t>维护</w:t>
      </w:r>
      <w:r w:rsidRPr="007F5A01">
        <w:rPr>
          <w:rFonts w:ascii="宋体" w:eastAsia="宋体" w:hAnsi="宋体" w:cs="楷体"/>
          <w:b/>
          <w:bCs/>
          <w:kern w:val="0"/>
          <w:sz w:val="24"/>
          <w:szCs w:val="24"/>
        </w:rPr>
        <w:t>保养检查内容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（一）“特灵” CVGF离心冷水机组保养程序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A、每天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1、提供设备故障紧急咨询服务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B、机组每个月常规保养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1、压缩机马达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a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检测及收紧所有之马达电源端子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b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检测马达线圈温度传感器欧姆值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c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提供设备对马达线组之绝缘阻抗测试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2、马达起动控制箱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a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收紧所有之电源端子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b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检测马达起动器的所有其它装置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c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检测各接触器线路端子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d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对马达起动箱除垢并进行保护处理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e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检测马达接线端子温度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f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检测各接触器接点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g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保护性的处理各接触器接点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3、润滑系统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a.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检测油槽油位是否正常（运转中）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b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检测油温控制传感器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4、控制及保护电路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a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检测及校正低温传感器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b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检测及调整高压开关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c.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检测及校正高压传感器（选择配备）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d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检测冰水温度传感器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e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检测及调整冷冻水流量开关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5、冷凝器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a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检测水及冷媒之温差并调整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b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检测冷媒饱和温度传感器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c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检测冷媒饱和压力传感器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6、蒸发器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a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检测水及冷媒之温差并调整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b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检测冷媒饱和温度传感器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c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检测及校正冷媒蒸发压力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7、一般系统检查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a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检测SLIDE VALVE 之功能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b.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检测不正常之噪音，振动及高温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c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检测及报告机组之温度计及压力表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d.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运转主机，检查及报告其操作状况</w:t>
      </w:r>
      <w:r w:rsidRPr="007F5A01">
        <w:rPr>
          <w:rFonts w:ascii="宋体" w:hAnsi="宋体" w:hint="eastAsia"/>
          <w:color w:val="000000"/>
          <w:sz w:val="24"/>
          <w:szCs w:val="24"/>
        </w:rPr>
        <w:tab/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C、机组年度保养服务项目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1、压缩机马达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a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检测及收紧所有之马达电源端子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lastRenderedPageBreak/>
        <w:t>b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检测马达线圈温度传感器欧姆值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c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提供设备对马达线组之绝缘阻抗测试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2、马达起动控制箱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a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收紧所有之电源端子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b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检测马达起动器的所有其它装置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c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检测各接触器线路端子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d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对马达起动箱除垢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e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检测马达接线端子温度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f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检测各接触器接点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g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保护性的处理各接触器接点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3、润滑系统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a.更换压缩机润滑油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b.更换油过滤器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c.检测油槽油位是否正常（运转中）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d.检测油温控制传感器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e.检测油泵马达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4、控制及保护电路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a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检测及校正低温传感器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b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检测及调整高压开关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c.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检测及校正高压传感器（选择配备）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d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检测冰水温度传感器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e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检测及调整冷冻水流量开关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f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校正及调整主机设定参数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5、冷凝器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a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检测水及冷媒之温差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b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检测冷媒饱和温度传感器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c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检测冷媒饱和压力传感器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d.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进行机械清洗。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6、蒸发器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a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检测水及冷媒之温差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b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检测冷媒饱和温度传感器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c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检测及校正冷媒蒸发压力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7、开机运转测试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a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检测马达线圈温度传感器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b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检测SLIDE VALVE 之功能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c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检测冷媒过滤器温差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d.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检测不正常之噪音，振动及高温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e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检测及报告损坏之零件</w:t>
      </w:r>
    </w:p>
    <w:p w:rsid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f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检测及报告其操作状况</w:t>
      </w:r>
      <w:r w:rsidRPr="007F5A01">
        <w:rPr>
          <w:rFonts w:ascii="宋体" w:hAnsi="宋体" w:hint="eastAsia"/>
          <w:color w:val="000000"/>
          <w:sz w:val="24"/>
          <w:szCs w:val="24"/>
        </w:rPr>
        <w:tab/>
      </w:r>
    </w:p>
    <w:p w:rsidR="007F5A01" w:rsidRDefault="007F5A01" w:rsidP="007F5A01">
      <w:pPr>
        <w:rPr>
          <w:rFonts w:ascii="宋体" w:hAnsi="宋体"/>
          <w:color w:val="000000"/>
          <w:sz w:val="24"/>
          <w:szCs w:val="24"/>
        </w:rPr>
      </w:pP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（二）风冷机组保养检查内容程序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“特灵”RTXA风冷热泵机组保养程序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A、每天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lastRenderedPageBreak/>
        <w:t>1、提供设备故障紧急咨询服务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B、机组每个月常规保养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1、压缩机马达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a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检测及收紧所有之马达电源端子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b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检测马达线圈温度传感器欧姆值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c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提供设备对马达线组之绝缘阻抗测试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2、马达起动控制箱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a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收紧所有之电源端子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b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检测马达起动器的所有其它装置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c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检测各接触器线路端子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d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对马达起动箱除垢并进行保护处理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e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检测马达接线端子温度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f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检测各接触器接点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g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保护性的处理各接触器接点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3、润滑系统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a.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检测油槽油位是否正常（运转中）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b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检测油温控制传感器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4、控制及保护电路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a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检测及校正低温传感器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b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检测及调整高压开关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c.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检测及校正高压传感器（选择配备）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d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检测冰水温度传感器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e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检测及调整冷冻水流量开关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5、冷凝器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a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检测风及冷媒之温差并调整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b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检测冷媒饱和温度传感器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c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检测冷媒饱和压力传感器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6、蒸发器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a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检测水及冷媒之温差并调整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b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检测冷媒饱和温度传感器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c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检测及校正冷媒蒸发压力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7、一般系统检查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a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检测SLIDE VALVE 之功能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b.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检测不正常之噪音，振动及高温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c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检测及报告机组之温度计及压力表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d.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运转主机，检查及报告其操作状况</w:t>
      </w:r>
      <w:r w:rsidRPr="007F5A01">
        <w:rPr>
          <w:rFonts w:ascii="宋体" w:hAnsi="宋体" w:hint="eastAsia"/>
          <w:color w:val="000000"/>
          <w:sz w:val="24"/>
          <w:szCs w:val="24"/>
        </w:rPr>
        <w:tab/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C、年度保养服务项目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1、压缩机马达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a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检测及收紧所有之马达电源端子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b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检测马达线圈温度传感器欧姆值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c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提供设备对马达线组之绝缘阻抗测试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2、马达起动控制箱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lastRenderedPageBreak/>
        <w:t>a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收紧所有之电源端子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b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检测马达起动器的所有其它装置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c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检测各接触器线路端子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d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对马达起动箱除垢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e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检测马达接线端子温度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f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检测各接触器接点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g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保护性的处理各接触器接点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3、润滑系统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a.更换压缩机润滑油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b.更换油过滤器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c.检测油槽油位是否正常（运转中）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d.检测油温控制传感器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e.检测油泵马达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4、控制及保护电路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a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检测及校正低温传感器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b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检测及调整高压开关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c.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检测及校正高压传感器（选择配备）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d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检测冰水温度传感器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e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检测及调整冷冻水流量开关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f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校正及调整主机设定参数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5、冷凝器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a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检测风及冷媒之温差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b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检测冷媒饱和温度传感器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c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检测冷媒饱和压力传感器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d.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进行机械清洗翅片。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6、蒸发器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a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检测水及冷媒之温差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b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检测冷媒饱和温度传感器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c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检测及校正冷媒蒸发压力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7、开机运转测试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a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检测马达线圈温度传感器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b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检测SLIDE VALVE 之功能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c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检测冷媒过滤器温差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d.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检测不正常之噪音，振动及高温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e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检测及报告损坏之零件</w:t>
      </w:r>
    </w:p>
    <w:p w:rsid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f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.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检测及报告其操作状况</w:t>
      </w:r>
      <w:r w:rsidRPr="007F5A01">
        <w:rPr>
          <w:rFonts w:ascii="宋体" w:hAnsi="宋体" w:hint="eastAsia"/>
          <w:color w:val="000000"/>
          <w:sz w:val="24"/>
          <w:szCs w:val="24"/>
        </w:rPr>
        <w:tab/>
      </w:r>
    </w:p>
    <w:p w:rsidR="007F5A01" w:rsidRDefault="007F5A01" w:rsidP="007F5A01">
      <w:pPr>
        <w:rPr>
          <w:rFonts w:ascii="宋体" w:hAnsi="宋体"/>
          <w:color w:val="000000"/>
          <w:sz w:val="24"/>
          <w:szCs w:val="24"/>
        </w:rPr>
      </w:pP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（三）开利19XR离心式冷水机组保养工序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A、每天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1、提供设备故障紧急咨询服务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B、年度保养服务项目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1)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排出润滑油油槽中的润滑油；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2)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更换油过滤器；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3)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更换润滑油；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lastRenderedPageBreak/>
        <w:t>4)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检查油回路，更换回油过滤器；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5)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检查油回路，更换引射过滤器；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6)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检查冷却回路，更换过滤器；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7)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检查变频冷却回路，更换变频器冷却过滤器（仅适用于机载变频柜）；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8)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检测压缩机电机及油泵电机的绝缘性能；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9)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</w: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检查导叶执行机构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工作情况；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10)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检查和清理启动柜、控制柜及动力箱；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11)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按需更新或者升级ICVC控制程序；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12)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通过ICVC模块检查机组各控制点和设定点；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13)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通过ICVC模块检查机组对运行报警记录</w:t>
      </w: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作出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分析并作相应处理；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14)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通过测量温度传感器的电压和电阻确定其准确性；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15)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检查并校正压力传感器的准确性；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16)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进行自动控制测试：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a)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电脑模块测试；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b)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</w: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各压力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和温度传感器；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c)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油泵和水泵（如接入主机）自动控制；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d)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</w: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导叶/扩压墙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启闭测试及校正；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e)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数字量输出测试。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17)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如情况许可，机组进行试运行；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18)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机组运行后，使用红外热成像仪检测启动柜中电气元件是否正常；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19)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提供机组年度保养报告。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C、机组运行期间常规保养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1)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检查机组运行情况，记录分析运行工况；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2)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检查机组的各设定点是否准确；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3)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检查压缩机润滑油的油位及颜色；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4)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检查供油油压，油压差，油温及油冷却膨胀</w:t>
      </w: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阀工作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情况，如有必要补充润滑油（用户提供）；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5)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检查油泵工作情况及其与主机起、停时差；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6)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检测压缩机电机及油泵电机的绝缘性能；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7)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检查机组供电电压；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8)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检查机组参数设定；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9)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检查和清理启动柜、控制柜及动力箱；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10)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进行自动控制测试：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a)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电脑模块测试；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b)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</w: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各压力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和温度传感器；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c)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油泵和水泵（如接入主机）自动控制；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d)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</w: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导叶/扩压墙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启闭测试及校正；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e)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数字量输出测试。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11)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对历史报警记录进行分析并作相应处理；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12)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检查机组是否有异常噪音及震动；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13)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检查冷却水、</w:t>
      </w: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冷冻水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温度ICVC显示与实际进出水温度是否符合；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14)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检查冷却水、</w:t>
      </w: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冷冻水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压力ICVC显示与实际进出水压力是否符合；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15)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检查蒸发温度、冷凝温度与对应的</w:t>
      </w: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冷冻水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和冷却水进出水温差情况；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16)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检查压缩机电机实际电流并与ICVC显示电流进行比较，是否正常；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lastRenderedPageBreak/>
        <w:t>17)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</w: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检查导叶执行机构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工作情况；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18)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检查电机冷却工作情况；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19)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如有需要检查热气旁通机构的工作情况；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20)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如有需要使用红外热成像仪检测启动柜中电气元件是否正常；</w:t>
      </w:r>
    </w:p>
    <w:p w:rsid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21)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提供机组定期巡检报告。</w:t>
      </w:r>
    </w:p>
    <w:p w:rsidR="007F5A01" w:rsidRDefault="007F5A01" w:rsidP="007F5A01">
      <w:pPr>
        <w:rPr>
          <w:rFonts w:ascii="宋体" w:hAnsi="宋体"/>
          <w:color w:val="000000"/>
          <w:sz w:val="24"/>
          <w:szCs w:val="24"/>
        </w:rPr>
      </w:pP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（四）约克离心式和螺杆式冷水机组保养内容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停机期间，每年一次进行下列各项检修，以便能正确评价设备的状态，为下一个供冷季节的运行作好准备：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1、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检修压缩机-电机组件的下列各项：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•电动机绝缘性能测定，在切断电源后，用兆欧表测量相间及相对地的电阻，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记录电机绕阻的绝缘电阻；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•检修电机轴承的润滑情况，润滑</w:t>
      </w: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开式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电机；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•检修确认</w:t>
      </w: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开式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电机驱动装置的定位，校核同心度；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•检修联轴器及</w:t>
      </w: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入口导叶操作机构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和联接机构；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•检修密封情况；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2、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检修压缩机润滑油系统的下列各项：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•检修润滑油油质，抽出部分油质化验并分析，进行油品的酸碱度测试，并检查油中是否有颗粒，今后运行中根据油品的检测情况来定是否需更换润滑油。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•检修加热器和恒温器；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•检修所有其它的润滑油系统部件，包括油冷却器、油加热器和电磁阀等。当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油压下降30％，油过滤器必须更换。在更换油过滤器时，检查是否有铝屑存在，因金属屑的存在会磨损轴承；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•检查滑阀工作度，核准滑阀定位计；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•检修回油系统，每半年更换回油系统中的干燥过滤器。如回油系统运转不良，</w:t>
      </w:r>
    </w:p>
    <w:p w:rsid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可早些更换，在更换同时检修</w:t>
      </w: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油引射器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是否被外来物质堵塞；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3、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执行下列各项操作，检修电机启动器：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•执行诊断检修程序，检修所有控制器是否有明显问题；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•检修厂方设定的控制器设定值有无改变；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•清洁接触器或建议更换；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•检修连接机构；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•检修所有接线端，包括接触器上的接点，过载保护器，端子排以及压缩机电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机端子排上的接头连接紧密牢靠；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•检修过负荷装置，并取油样检修标定；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•空载运行启动器（或在启动前）；检修状态指示灯。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4、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检修控制面板，确定下列各项：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•执行诊断检修程序；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•检修安全停机运行状态；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•检修所有接线端，并拧紧；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•检修显示数据的精度和设定值。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5、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检修所有接线端检修冷凝器、蒸发器的下列各项：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•检修水流量及水质是否合格，水中是否有水垢．腐蚀或锈蚀．泥渣及藻类等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物，水的PH值是否控制在7－8.5之间；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•检修水流开关的控制情况；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lastRenderedPageBreak/>
        <w:t>•根据运行记录参数，分析热交换效果，必要时进行一年一次的冷凝器物理清洗；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•必要时更换密封垫，并拧紧；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•检修显示数据的精度和设定值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6、</w:t>
      </w:r>
      <w:r w:rsidRPr="007F5A01">
        <w:rPr>
          <w:rFonts w:ascii="宋体" w:hAnsi="宋体" w:hint="eastAsia"/>
          <w:color w:val="000000"/>
          <w:sz w:val="24"/>
          <w:szCs w:val="24"/>
        </w:rPr>
        <w:tab/>
        <w:t>检修系统的下列各项：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•检修冷媒充注量，进行泄漏检修，找出泄漏处并进行修理；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•按要求补充制冷剂至规定数量；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•记录蒸发器液体</w:t>
      </w: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视液镜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的液体；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•检修制冷循环，确认处于正常平衡状态；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8、其它：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•遵循检修和检修步骤，修理脱落的保温层；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•其他未尽修理事项遵循约克公司关于该机组说明书规定的检修内容、程序进行。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二、机组运行期间，乙方每月进行下列各项检查，确保机组在整个供冷季节都运行高效、可靠；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1．检查确认机组正常的运行条件和运行状态，查看机组运行记录，并进行数据分析，提出检修方案并进行修理；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2．按要求调节运行控制；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3．检查油位和制冷剂液位，进行漏点检查；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4．定期进行制冷剂泄漏的检查；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5．检查电机、启动器、所有电气控制元件运行状态；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6．检查油温，油加热器；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7．制冷循环系统，确认其是否处于正常平衡状态；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8．检查润滑系统、回油系统；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9．记录和报告要求的备件；</w:t>
      </w:r>
    </w:p>
    <w:p w:rsid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10、配合检查辅助设备的运行状态，包括冷却水泵、冷冻水泵及冷却塔等设备是否处于正常状态。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（五）</w:t>
      </w: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冷冻水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水质</w:t>
      </w: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处理维保要求</w:t>
      </w:r>
      <w:proofErr w:type="gramEnd"/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1、腐蚀控制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对</w:t>
      </w: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冷冻水使用密闭水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缓蚀剂作为</w:t>
      </w: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系统缓蚀处理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，</w:t>
      </w: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密闭水缓蚀剂缓蚀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原理为药剂与金属发生氧化反应，在金属表面形成一层薄氧化膜，阻止水中各种离子与金属的接触，从而</w:t>
      </w: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达到缓蚀的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目的。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2、微生物控制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对冷冻</w:t>
      </w:r>
      <w:proofErr w:type="gramStart"/>
      <w:r w:rsidRPr="007F5A01">
        <w:rPr>
          <w:rFonts w:ascii="宋体" w:hAnsi="宋体" w:hint="eastAsia"/>
          <w:color w:val="000000"/>
          <w:sz w:val="24"/>
          <w:szCs w:val="24"/>
        </w:rPr>
        <w:t>水采</w:t>
      </w:r>
      <w:proofErr w:type="gramEnd"/>
      <w:r w:rsidRPr="007F5A01">
        <w:rPr>
          <w:rFonts w:ascii="宋体" w:hAnsi="宋体" w:hint="eastAsia"/>
          <w:color w:val="000000"/>
          <w:sz w:val="24"/>
          <w:szCs w:val="24"/>
        </w:rPr>
        <w:t>用非氧化性杀菌剂对系统进行杀菌处理。</w:t>
      </w:r>
    </w:p>
    <w:p w:rsidR="007F5A01" w:rsidRPr="007F5A01" w:rsidRDefault="007F5A01" w:rsidP="007F5A01">
      <w:pPr>
        <w:rPr>
          <w:rFonts w:ascii="宋体" w:hAnsi="宋体"/>
          <w:color w:val="000000"/>
          <w:sz w:val="24"/>
          <w:szCs w:val="24"/>
        </w:rPr>
      </w:pPr>
      <w:r w:rsidRPr="007F5A01">
        <w:rPr>
          <w:rFonts w:ascii="宋体" w:hAnsi="宋体" w:hint="eastAsia"/>
          <w:color w:val="000000"/>
          <w:sz w:val="24"/>
          <w:szCs w:val="24"/>
        </w:rPr>
        <w:t>由于冷冻水系统属于密闭系统，因此系统水不会蒸发导致系统浓缩倍数上升，也不存在外界环境污染泥沙等现象，因此不存在结垢隐患和倾向，故只需控制腐蚀和微生物问题即可。</w:t>
      </w:r>
    </w:p>
    <w:p w:rsidR="006C66A2" w:rsidRPr="0091291F" w:rsidRDefault="0009534D">
      <w:pPr>
        <w:tabs>
          <w:tab w:val="left" w:pos="675"/>
        </w:tabs>
        <w:rPr>
          <w:rFonts w:asciiTheme="majorEastAsia" w:eastAsiaTheme="majorEastAsia" w:hAnsiTheme="majorEastAsia"/>
          <w:b/>
          <w:bCs/>
          <w:color w:val="000000"/>
          <w:sz w:val="24"/>
          <w:szCs w:val="24"/>
        </w:rPr>
      </w:pPr>
      <w:proofErr w:type="gramStart"/>
      <w:r w:rsidRPr="0091291F">
        <w:rPr>
          <w:rFonts w:asciiTheme="majorEastAsia" w:eastAsiaTheme="majorEastAsia" w:hAnsiTheme="majorEastAsia" w:hint="eastAsia"/>
          <w:b/>
          <w:bCs/>
          <w:color w:val="000000"/>
          <w:sz w:val="24"/>
          <w:szCs w:val="24"/>
        </w:rPr>
        <w:t>冷冻</w:t>
      </w:r>
      <w:r w:rsidRPr="0091291F">
        <w:rPr>
          <w:rFonts w:asciiTheme="majorEastAsia" w:eastAsiaTheme="majorEastAsia" w:hAnsiTheme="majorEastAsia"/>
          <w:b/>
          <w:bCs/>
          <w:color w:val="000000"/>
          <w:sz w:val="24"/>
          <w:szCs w:val="24"/>
        </w:rPr>
        <w:t>水分析</w:t>
      </w:r>
      <w:proofErr w:type="gramEnd"/>
      <w:r w:rsidRPr="0091291F">
        <w:rPr>
          <w:rFonts w:asciiTheme="majorEastAsia" w:eastAsiaTheme="majorEastAsia" w:hAnsiTheme="majorEastAsia"/>
          <w:b/>
          <w:bCs/>
          <w:color w:val="000000"/>
          <w:sz w:val="24"/>
          <w:szCs w:val="24"/>
        </w:rPr>
        <w:t>项目及控制指标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60"/>
        <w:gridCol w:w="1620"/>
        <w:gridCol w:w="1620"/>
        <w:gridCol w:w="1800"/>
      </w:tblGrid>
      <w:tr w:rsidR="006C66A2" w:rsidRPr="004618D0">
        <w:trPr>
          <w:trHeight w:val="408"/>
        </w:trPr>
        <w:tc>
          <w:tcPr>
            <w:tcW w:w="3060" w:type="dxa"/>
            <w:noWrap/>
            <w:vAlign w:val="center"/>
          </w:tcPr>
          <w:p w:rsidR="006C66A2" w:rsidRPr="004618D0" w:rsidRDefault="0009534D">
            <w:pPr>
              <w:spacing w:line="360" w:lineRule="auto"/>
              <w:rPr>
                <w:rFonts w:asciiTheme="majorEastAsia" w:eastAsiaTheme="majorEastAsia" w:hAnsiTheme="majorEastAsia"/>
                <w:szCs w:val="21"/>
              </w:rPr>
            </w:pPr>
            <w:r w:rsidRPr="004618D0">
              <w:rPr>
                <w:rFonts w:asciiTheme="majorEastAsia" w:eastAsiaTheme="majorEastAsia" w:hAnsiTheme="majorEastAsia"/>
                <w:szCs w:val="21"/>
              </w:rPr>
              <w:t>项  目</w:t>
            </w:r>
          </w:p>
        </w:tc>
        <w:tc>
          <w:tcPr>
            <w:tcW w:w="1620" w:type="dxa"/>
            <w:noWrap/>
            <w:vAlign w:val="center"/>
          </w:tcPr>
          <w:p w:rsidR="006C66A2" w:rsidRPr="004618D0" w:rsidRDefault="0009534D">
            <w:pPr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4618D0">
              <w:rPr>
                <w:rFonts w:asciiTheme="majorEastAsia" w:eastAsiaTheme="majorEastAsia" w:hAnsiTheme="majorEastAsia"/>
                <w:szCs w:val="21"/>
              </w:rPr>
              <w:t>单   位</w:t>
            </w:r>
          </w:p>
        </w:tc>
        <w:tc>
          <w:tcPr>
            <w:tcW w:w="1620" w:type="dxa"/>
            <w:noWrap/>
            <w:vAlign w:val="center"/>
          </w:tcPr>
          <w:p w:rsidR="006C66A2" w:rsidRPr="004618D0" w:rsidRDefault="0009534D">
            <w:pPr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4618D0">
              <w:rPr>
                <w:rFonts w:asciiTheme="majorEastAsia" w:eastAsiaTheme="majorEastAsia" w:hAnsiTheme="majorEastAsia"/>
                <w:szCs w:val="21"/>
              </w:rPr>
              <w:t>检查标准</w:t>
            </w:r>
          </w:p>
        </w:tc>
        <w:tc>
          <w:tcPr>
            <w:tcW w:w="1800" w:type="dxa"/>
            <w:noWrap/>
            <w:vAlign w:val="center"/>
          </w:tcPr>
          <w:p w:rsidR="006C66A2" w:rsidRPr="004618D0" w:rsidRDefault="0009534D">
            <w:pPr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4618D0">
              <w:rPr>
                <w:rFonts w:asciiTheme="majorEastAsia" w:eastAsiaTheme="majorEastAsia" w:hAnsiTheme="majorEastAsia"/>
                <w:szCs w:val="21"/>
              </w:rPr>
              <w:t>分析频率</w:t>
            </w:r>
          </w:p>
        </w:tc>
      </w:tr>
      <w:tr w:rsidR="006C66A2" w:rsidRPr="004618D0">
        <w:trPr>
          <w:trHeight w:val="277"/>
        </w:trPr>
        <w:tc>
          <w:tcPr>
            <w:tcW w:w="3060" w:type="dxa"/>
            <w:noWrap/>
          </w:tcPr>
          <w:p w:rsidR="006C66A2" w:rsidRPr="004618D0" w:rsidRDefault="0009534D">
            <w:pPr>
              <w:spacing w:line="360" w:lineRule="auto"/>
              <w:rPr>
                <w:rFonts w:asciiTheme="majorEastAsia" w:eastAsiaTheme="majorEastAsia" w:hAnsiTheme="majorEastAsia"/>
                <w:szCs w:val="21"/>
              </w:rPr>
            </w:pPr>
            <w:r w:rsidRPr="004618D0">
              <w:rPr>
                <w:rFonts w:asciiTheme="majorEastAsia" w:eastAsiaTheme="majorEastAsia" w:hAnsiTheme="majorEastAsia"/>
                <w:szCs w:val="21"/>
              </w:rPr>
              <w:t>pH</w:t>
            </w:r>
          </w:p>
        </w:tc>
        <w:tc>
          <w:tcPr>
            <w:tcW w:w="1620" w:type="dxa"/>
            <w:noWrap/>
          </w:tcPr>
          <w:p w:rsidR="006C66A2" w:rsidRPr="004618D0" w:rsidRDefault="0009534D">
            <w:pPr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4618D0">
              <w:rPr>
                <w:rFonts w:asciiTheme="majorEastAsia" w:eastAsiaTheme="majorEastAsia" w:hAnsiTheme="majorEastAsia"/>
                <w:kern w:val="0"/>
                <w:szCs w:val="21"/>
              </w:rPr>
              <w:t>——</w:t>
            </w:r>
          </w:p>
        </w:tc>
        <w:tc>
          <w:tcPr>
            <w:tcW w:w="1620" w:type="dxa"/>
            <w:noWrap/>
          </w:tcPr>
          <w:p w:rsidR="006C66A2" w:rsidRPr="004618D0" w:rsidRDefault="0009534D">
            <w:pPr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4618D0">
              <w:rPr>
                <w:rFonts w:asciiTheme="majorEastAsia" w:eastAsiaTheme="majorEastAsia" w:hAnsiTheme="majorEastAsia" w:hint="eastAsia"/>
                <w:szCs w:val="21"/>
              </w:rPr>
              <w:t>9.0</w:t>
            </w:r>
            <w:r w:rsidRPr="004618D0">
              <w:rPr>
                <w:rFonts w:asciiTheme="majorEastAsia" w:eastAsiaTheme="majorEastAsia" w:hAnsiTheme="majorEastAsia"/>
                <w:szCs w:val="21"/>
              </w:rPr>
              <w:t>-</w:t>
            </w:r>
            <w:r w:rsidRPr="004618D0">
              <w:rPr>
                <w:rFonts w:asciiTheme="majorEastAsia" w:eastAsiaTheme="majorEastAsia" w:hAnsiTheme="majorEastAsia" w:hint="eastAsia"/>
                <w:szCs w:val="21"/>
              </w:rPr>
              <w:t>11</w:t>
            </w:r>
          </w:p>
        </w:tc>
        <w:tc>
          <w:tcPr>
            <w:tcW w:w="1800" w:type="dxa"/>
            <w:noWrap/>
          </w:tcPr>
          <w:p w:rsidR="006C66A2" w:rsidRPr="004618D0" w:rsidRDefault="0009534D">
            <w:pPr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4618D0">
              <w:rPr>
                <w:rFonts w:asciiTheme="majorEastAsia" w:eastAsiaTheme="majorEastAsia" w:hAnsiTheme="majorEastAsia" w:hint="eastAsia"/>
                <w:szCs w:val="21"/>
              </w:rPr>
              <w:t>1</w:t>
            </w:r>
            <w:r w:rsidRPr="004618D0">
              <w:rPr>
                <w:rFonts w:asciiTheme="majorEastAsia" w:eastAsiaTheme="majorEastAsia" w:hAnsiTheme="majorEastAsia"/>
                <w:szCs w:val="21"/>
              </w:rPr>
              <w:t>次/</w:t>
            </w:r>
            <w:r w:rsidRPr="004618D0">
              <w:rPr>
                <w:rFonts w:asciiTheme="majorEastAsia" w:eastAsiaTheme="majorEastAsia" w:hAnsiTheme="majorEastAsia" w:hint="eastAsia"/>
                <w:szCs w:val="21"/>
              </w:rPr>
              <w:t>月</w:t>
            </w:r>
          </w:p>
        </w:tc>
      </w:tr>
      <w:tr w:rsidR="006C66A2" w:rsidRPr="004618D0">
        <w:trPr>
          <w:trHeight w:val="211"/>
        </w:trPr>
        <w:tc>
          <w:tcPr>
            <w:tcW w:w="3060" w:type="dxa"/>
            <w:noWrap/>
          </w:tcPr>
          <w:p w:rsidR="006C66A2" w:rsidRPr="004618D0" w:rsidRDefault="0009534D">
            <w:pPr>
              <w:spacing w:line="360" w:lineRule="auto"/>
              <w:rPr>
                <w:rFonts w:asciiTheme="majorEastAsia" w:eastAsiaTheme="majorEastAsia" w:hAnsiTheme="majorEastAsia"/>
                <w:szCs w:val="21"/>
              </w:rPr>
            </w:pPr>
            <w:r w:rsidRPr="004618D0">
              <w:rPr>
                <w:rFonts w:asciiTheme="majorEastAsia" w:eastAsiaTheme="majorEastAsia" w:hAnsiTheme="majorEastAsia"/>
                <w:szCs w:val="21"/>
              </w:rPr>
              <w:t>电 导 率</w:t>
            </w:r>
          </w:p>
        </w:tc>
        <w:tc>
          <w:tcPr>
            <w:tcW w:w="1620" w:type="dxa"/>
            <w:noWrap/>
          </w:tcPr>
          <w:p w:rsidR="006C66A2" w:rsidRPr="004618D0" w:rsidRDefault="0009534D">
            <w:pPr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proofErr w:type="spellStart"/>
            <w:r w:rsidRPr="004618D0">
              <w:rPr>
                <w:rFonts w:asciiTheme="majorEastAsia" w:eastAsiaTheme="majorEastAsia" w:hAnsiTheme="majorEastAsia"/>
                <w:szCs w:val="21"/>
              </w:rPr>
              <w:t>μs</w:t>
            </w:r>
            <w:proofErr w:type="spellEnd"/>
            <w:r w:rsidRPr="004618D0">
              <w:rPr>
                <w:rFonts w:asciiTheme="majorEastAsia" w:eastAsiaTheme="majorEastAsia" w:hAnsiTheme="majorEastAsia"/>
                <w:szCs w:val="21"/>
              </w:rPr>
              <w:t>/cm</w:t>
            </w:r>
          </w:p>
        </w:tc>
        <w:tc>
          <w:tcPr>
            <w:tcW w:w="1620" w:type="dxa"/>
            <w:noWrap/>
          </w:tcPr>
          <w:p w:rsidR="006C66A2" w:rsidRPr="004618D0" w:rsidRDefault="0009534D">
            <w:pPr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4618D0">
              <w:rPr>
                <w:rFonts w:asciiTheme="majorEastAsia" w:eastAsiaTheme="majorEastAsia" w:hAnsiTheme="majorEastAsia"/>
                <w:szCs w:val="21"/>
              </w:rPr>
              <w:t>≤</w:t>
            </w:r>
            <w:r w:rsidRPr="004618D0">
              <w:rPr>
                <w:rFonts w:asciiTheme="majorEastAsia" w:eastAsiaTheme="majorEastAsia" w:hAnsiTheme="majorEastAsia" w:hint="eastAsia"/>
                <w:szCs w:val="21"/>
              </w:rPr>
              <w:t>40</w:t>
            </w:r>
            <w:r w:rsidRPr="004618D0">
              <w:rPr>
                <w:rFonts w:asciiTheme="majorEastAsia" w:eastAsiaTheme="majorEastAsia" w:hAnsiTheme="majorEastAsia"/>
                <w:szCs w:val="21"/>
              </w:rPr>
              <w:t>00</w:t>
            </w:r>
          </w:p>
        </w:tc>
        <w:tc>
          <w:tcPr>
            <w:tcW w:w="1800" w:type="dxa"/>
            <w:noWrap/>
          </w:tcPr>
          <w:p w:rsidR="006C66A2" w:rsidRPr="004618D0" w:rsidRDefault="0009534D">
            <w:pPr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4618D0">
              <w:rPr>
                <w:rFonts w:asciiTheme="majorEastAsia" w:eastAsiaTheme="majorEastAsia" w:hAnsiTheme="majorEastAsia" w:hint="eastAsia"/>
                <w:szCs w:val="21"/>
              </w:rPr>
              <w:t>1</w:t>
            </w:r>
            <w:r w:rsidRPr="004618D0">
              <w:rPr>
                <w:rFonts w:asciiTheme="majorEastAsia" w:eastAsiaTheme="majorEastAsia" w:hAnsiTheme="majorEastAsia"/>
                <w:szCs w:val="21"/>
              </w:rPr>
              <w:t>次/</w:t>
            </w:r>
            <w:r w:rsidRPr="004618D0">
              <w:rPr>
                <w:rFonts w:asciiTheme="majorEastAsia" w:eastAsiaTheme="majorEastAsia" w:hAnsiTheme="majorEastAsia" w:hint="eastAsia"/>
                <w:szCs w:val="21"/>
              </w:rPr>
              <w:t>月</w:t>
            </w:r>
          </w:p>
        </w:tc>
      </w:tr>
      <w:tr w:rsidR="006C66A2" w:rsidRPr="004618D0">
        <w:trPr>
          <w:trHeight w:val="300"/>
        </w:trPr>
        <w:tc>
          <w:tcPr>
            <w:tcW w:w="3060" w:type="dxa"/>
            <w:noWrap/>
          </w:tcPr>
          <w:p w:rsidR="006C66A2" w:rsidRPr="004618D0" w:rsidRDefault="0009534D">
            <w:pPr>
              <w:spacing w:line="360" w:lineRule="auto"/>
              <w:rPr>
                <w:rFonts w:asciiTheme="majorEastAsia" w:eastAsiaTheme="majorEastAsia" w:hAnsiTheme="majorEastAsia"/>
                <w:szCs w:val="21"/>
              </w:rPr>
            </w:pPr>
            <w:proofErr w:type="gramStart"/>
            <w:r w:rsidRPr="004618D0">
              <w:rPr>
                <w:rFonts w:asciiTheme="majorEastAsia" w:eastAsiaTheme="majorEastAsia" w:hAnsiTheme="majorEastAsia"/>
                <w:szCs w:val="21"/>
              </w:rPr>
              <w:t>浊</w:t>
            </w:r>
            <w:proofErr w:type="gramEnd"/>
            <w:r w:rsidRPr="004618D0">
              <w:rPr>
                <w:rFonts w:asciiTheme="majorEastAsia" w:eastAsiaTheme="majorEastAsia" w:hAnsiTheme="majorEastAsia"/>
                <w:szCs w:val="21"/>
              </w:rPr>
              <w:t xml:space="preserve">    度</w:t>
            </w:r>
          </w:p>
        </w:tc>
        <w:tc>
          <w:tcPr>
            <w:tcW w:w="1620" w:type="dxa"/>
            <w:noWrap/>
          </w:tcPr>
          <w:p w:rsidR="006C66A2" w:rsidRPr="004618D0" w:rsidRDefault="0009534D">
            <w:pPr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4618D0">
              <w:rPr>
                <w:rFonts w:asciiTheme="majorEastAsia" w:eastAsiaTheme="majorEastAsia" w:hAnsiTheme="majorEastAsia" w:hint="eastAsia"/>
                <w:szCs w:val="21"/>
              </w:rPr>
              <w:t>NTU</w:t>
            </w:r>
          </w:p>
        </w:tc>
        <w:tc>
          <w:tcPr>
            <w:tcW w:w="1620" w:type="dxa"/>
            <w:noWrap/>
          </w:tcPr>
          <w:p w:rsidR="006C66A2" w:rsidRPr="004618D0" w:rsidRDefault="0009534D">
            <w:pPr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4618D0">
              <w:rPr>
                <w:rFonts w:asciiTheme="majorEastAsia" w:eastAsiaTheme="majorEastAsia" w:hAnsiTheme="majorEastAsia"/>
                <w:szCs w:val="21"/>
              </w:rPr>
              <w:t>≤20</w:t>
            </w:r>
          </w:p>
        </w:tc>
        <w:tc>
          <w:tcPr>
            <w:tcW w:w="1800" w:type="dxa"/>
            <w:noWrap/>
          </w:tcPr>
          <w:p w:rsidR="006C66A2" w:rsidRPr="004618D0" w:rsidRDefault="0009534D">
            <w:pPr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4618D0">
              <w:rPr>
                <w:rFonts w:asciiTheme="majorEastAsia" w:eastAsiaTheme="majorEastAsia" w:hAnsiTheme="majorEastAsia" w:hint="eastAsia"/>
                <w:szCs w:val="21"/>
              </w:rPr>
              <w:t>1</w:t>
            </w:r>
            <w:r w:rsidRPr="004618D0">
              <w:rPr>
                <w:rFonts w:asciiTheme="majorEastAsia" w:eastAsiaTheme="majorEastAsia" w:hAnsiTheme="majorEastAsia"/>
                <w:szCs w:val="21"/>
              </w:rPr>
              <w:t>次/</w:t>
            </w:r>
            <w:r w:rsidRPr="004618D0">
              <w:rPr>
                <w:rFonts w:asciiTheme="majorEastAsia" w:eastAsiaTheme="majorEastAsia" w:hAnsiTheme="majorEastAsia" w:hint="eastAsia"/>
                <w:szCs w:val="21"/>
              </w:rPr>
              <w:t>月</w:t>
            </w:r>
          </w:p>
        </w:tc>
      </w:tr>
      <w:tr w:rsidR="006C66A2" w:rsidRPr="004618D0">
        <w:trPr>
          <w:trHeight w:val="289"/>
        </w:trPr>
        <w:tc>
          <w:tcPr>
            <w:tcW w:w="3060" w:type="dxa"/>
            <w:noWrap/>
          </w:tcPr>
          <w:p w:rsidR="006C66A2" w:rsidRPr="004618D0" w:rsidRDefault="0009534D">
            <w:pPr>
              <w:spacing w:line="360" w:lineRule="auto"/>
              <w:rPr>
                <w:rFonts w:asciiTheme="majorEastAsia" w:eastAsiaTheme="majorEastAsia" w:hAnsiTheme="majorEastAsia"/>
                <w:szCs w:val="21"/>
              </w:rPr>
            </w:pPr>
            <w:r w:rsidRPr="004618D0">
              <w:rPr>
                <w:rFonts w:asciiTheme="majorEastAsia" w:eastAsiaTheme="majorEastAsia" w:hAnsiTheme="majorEastAsia" w:hint="eastAsia"/>
                <w:szCs w:val="21"/>
              </w:rPr>
              <w:t>总</w:t>
            </w:r>
            <w:r w:rsidRPr="004618D0">
              <w:rPr>
                <w:rFonts w:asciiTheme="majorEastAsia" w:eastAsiaTheme="majorEastAsia" w:hAnsiTheme="majorEastAsia"/>
                <w:szCs w:val="21"/>
              </w:rPr>
              <w:t>铁</w:t>
            </w:r>
          </w:p>
        </w:tc>
        <w:tc>
          <w:tcPr>
            <w:tcW w:w="1620" w:type="dxa"/>
            <w:noWrap/>
          </w:tcPr>
          <w:p w:rsidR="006C66A2" w:rsidRPr="004618D0" w:rsidRDefault="0009534D">
            <w:pPr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4618D0">
              <w:rPr>
                <w:rFonts w:asciiTheme="majorEastAsia" w:eastAsiaTheme="majorEastAsia" w:hAnsiTheme="majorEastAsia"/>
                <w:szCs w:val="21"/>
              </w:rPr>
              <w:t>mg/L</w:t>
            </w:r>
          </w:p>
        </w:tc>
        <w:tc>
          <w:tcPr>
            <w:tcW w:w="1620" w:type="dxa"/>
            <w:noWrap/>
          </w:tcPr>
          <w:p w:rsidR="006C66A2" w:rsidRPr="004618D0" w:rsidRDefault="0009534D">
            <w:pPr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4618D0">
              <w:rPr>
                <w:rFonts w:asciiTheme="majorEastAsia" w:eastAsiaTheme="majorEastAsia" w:hAnsiTheme="majorEastAsia"/>
                <w:szCs w:val="21"/>
              </w:rPr>
              <w:t>≤2</w:t>
            </w:r>
          </w:p>
        </w:tc>
        <w:tc>
          <w:tcPr>
            <w:tcW w:w="1800" w:type="dxa"/>
            <w:noWrap/>
          </w:tcPr>
          <w:p w:rsidR="006C66A2" w:rsidRPr="004618D0" w:rsidRDefault="0009534D">
            <w:pPr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4618D0">
              <w:rPr>
                <w:rFonts w:asciiTheme="majorEastAsia" w:eastAsiaTheme="majorEastAsia" w:hAnsiTheme="majorEastAsia" w:hint="eastAsia"/>
                <w:szCs w:val="21"/>
              </w:rPr>
              <w:t>1</w:t>
            </w:r>
            <w:r w:rsidRPr="004618D0">
              <w:rPr>
                <w:rFonts w:asciiTheme="majorEastAsia" w:eastAsiaTheme="majorEastAsia" w:hAnsiTheme="majorEastAsia"/>
                <w:szCs w:val="21"/>
              </w:rPr>
              <w:t>次/</w:t>
            </w:r>
            <w:r w:rsidRPr="004618D0">
              <w:rPr>
                <w:rFonts w:asciiTheme="majorEastAsia" w:eastAsiaTheme="majorEastAsia" w:hAnsiTheme="majorEastAsia" w:hint="eastAsia"/>
                <w:szCs w:val="21"/>
              </w:rPr>
              <w:t>月</w:t>
            </w:r>
          </w:p>
        </w:tc>
      </w:tr>
      <w:tr w:rsidR="006C66A2" w:rsidRPr="004618D0">
        <w:trPr>
          <w:trHeight w:val="120"/>
        </w:trPr>
        <w:tc>
          <w:tcPr>
            <w:tcW w:w="3060" w:type="dxa"/>
            <w:noWrap/>
          </w:tcPr>
          <w:p w:rsidR="006C66A2" w:rsidRPr="004618D0" w:rsidRDefault="0009534D">
            <w:pPr>
              <w:spacing w:line="360" w:lineRule="auto"/>
              <w:rPr>
                <w:rFonts w:asciiTheme="majorEastAsia" w:eastAsiaTheme="majorEastAsia" w:hAnsiTheme="majorEastAsia"/>
                <w:szCs w:val="21"/>
              </w:rPr>
            </w:pPr>
            <w:r w:rsidRPr="004618D0">
              <w:rPr>
                <w:rFonts w:asciiTheme="majorEastAsia" w:eastAsiaTheme="majorEastAsia" w:hAnsiTheme="majorEastAsia" w:hint="eastAsia"/>
                <w:szCs w:val="21"/>
              </w:rPr>
              <w:lastRenderedPageBreak/>
              <w:t>缓蚀剂</w:t>
            </w:r>
          </w:p>
        </w:tc>
        <w:tc>
          <w:tcPr>
            <w:tcW w:w="1620" w:type="dxa"/>
            <w:noWrap/>
          </w:tcPr>
          <w:p w:rsidR="006C66A2" w:rsidRPr="004618D0" w:rsidRDefault="0009534D">
            <w:pPr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4618D0">
              <w:rPr>
                <w:rFonts w:asciiTheme="majorEastAsia" w:eastAsiaTheme="majorEastAsia" w:hAnsiTheme="majorEastAsia"/>
                <w:szCs w:val="21"/>
              </w:rPr>
              <w:t>mg/L</w:t>
            </w:r>
          </w:p>
        </w:tc>
        <w:tc>
          <w:tcPr>
            <w:tcW w:w="1620" w:type="dxa"/>
            <w:noWrap/>
          </w:tcPr>
          <w:p w:rsidR="006C66A2" w:rsidRPr="004618D0" w:rsidRDefault="0009534D">
            <w:pPr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4618D0">
              <w:rPr>
                <w:rFonts w:asciiTheme="majorEastAsia" w:eastAsiaTheme="majorEastAsia" w:hAnsiTheme="majorEastAsia" w:hint="eastAsia"/>
                <w:szCs w:val="21"/>
              </w:rPr>
              <w:t>≥4</w:t>
            </w:r>
            <w:r w:rsidRPr="004618D0">
              <w:rPr>
                <w:rFonts w:asciiTheme="majorEastAsia" w:eastAsiaTheme="majorEastAsia" w:hAnsiTheme="majorEastAsia"/>
                <w:szCs w:val="21"/>
              </w:rPr>
              <w:t>00</w:t>
            </w:r>
          </w:p>
        </w:tc>
        <w:tc>
          <w:tcPr>
            <w:tcW w:w="1800" w:type="dxa"/>
            <w:noWrap/>
          </w:tcPr>
          <w:p w:rsidR="006C66A2" w:rsidRPr="004618D0" w:rsidRDefault="0009534D">
            <w:pPr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4618D0">
              <w:rPr>
                <w:rFonts w:asciiTheme="majorEastAsia" w:eastAsiaTheme="majorEastAsia" w:hAnsiTheme="majorEastAsia" w:hint="eastAsia"/>
                <w:szCs w:val="21"/>
              </w:rPr>
              <w:t>1</w:t>
            </w:r>
            <w:r w:rsidRPr="004618D0">
              <w:rPr>
                <w:rFonts w:asciiTheme="majorEastAsia" w:eastAsiaTheme="majorEastAsia" w:hAnsiTheme="majorEastAsia"/>
                <w:szCs w:val="21"/>
              </w:rPr>
              <w:t>次/</w:t>
            </w:r>
            <w:r w:rsidRPr="004618D0">
              <w:rPr>
                <w:rFonts w:asciiTheme="majorEastAsia" w:eastAsiaTheme="majorEastAsia" w:hAnsiTheme="majorEastAsia" w:hint="eastAsia"/>
                <w:szCs w:val="21"/>
              </w:rPr>
              <w:t>月</w:t>
            </w:r>
          </w:p>
        </w:tc>
      </w:tr>
      <w:tr w:rsidR="006C66A2" w:rsidRPr="004618D0">
        <w:trPr>
          <w:trHeight w:val="120"/>
        </w:trPr>
        <w:tc>
          <w:tcPr>
            <w:tcW w:w="3060" w:type="dxa"/>
            <w:noWrap/>
          </w:tcPr>
          <w:p w:rsidR="006C66A2" w:rsidRPr="004618D0" w:rsidRDefault="0009534D">
            <w:pPr>
              <w:spacing w:line="360" w:lineRule="auto"/>
              <w:rPr>
                <w:rFonts w:asciiTheme="majorEastAsia" w:eastAsiaTheme="majorEastAsia" w:hAnsiTheme="majorEastAsia"/>
                <w:szCs w:val="21"/>
              </w:rPr>
            </w:pPr>
            <w:r w:rsidRPr="004618D0">
              <w:rPr>
                <w:rFonts w:asciiTheme="majorEastAsia" w:eastAsiaTheme="majorEastAsia" w:hAnsiTheme="majorEastAsia"/>
                <w:szCs w:val="21"/>
              </w:rPr>
              <w:t>微生物</w:t>
            </w:r>
          </w:p>
        </w:tc>
        <w:tc>
          <w:tcPr>
            <w:tcW w:w="1620" w:type="dxa"/>
            <w:noWrap/>
          </w:tcPr>
          <w:p w:rsidR="006C66A2" w:rsidRPr="004618D0" w:rsidRDefault="0009534D">
            <w:pPr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4618D0">
              <w:rPr>
                <w:rFonts w:asciiTheme="majorEastAsia" w:eastAsiaTheme="majorEastAsia" w:hAnsiTheme="majorEastAsia"/>
                <w:szCs w:val="21"/>
              </w:rPr>
              <w:t>菌落数</w:t>
            </w:r>
            <w:r w:rsidRPr="004618D0">
              <w:rPr>
                <w:rFonts w:asciiTheme="majorEastAsia" w:eastAsiaTheme="majorEastAsia" w:hAnsiTheme="majorEastAsia" w:hint="eastAsia"/>
                <w:szCs w:val="21"/>
              </w:rPr>
              <w:t>/</w:t>
            </w:r>
            <w:r w:rsidRPr="004618D0">
              <w:rPr>
                <w:rFonts w:asciiTheme="majorEastAsia" w:eastAsiaTheme="majorEastAsia" w:hAnsiTheme="majorEastAsia"/>
                <w:szCs w:val="21"/>
              </w:rPr>
              <w:t>ml</w:t>
            </w:r>
          </w:p>
        </w:tc>
        <w:tc>
          <w:tcPr>
            <w:tcW w:w="1620" w:type="dxa"/>
            <w:noWrap/>
          </w:tcPr>
          <w:p w:rsidR="006C66A2" w:rsidRPr="004618D0" w:rsidRDefault="0009534D">
            <w:pPr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4618D0">
              <w:rPr>
                <w:rFonts w:asciiTheme="majorEastAsia" w:eastAsiaTheme="majorEastAsia" w:hAnsiTheme="majorEastAsia"/>
                <w:szCs w:val="21"/>
              </w:rPr>
              <w:t>≤10</w:t>
            </w:r>
            <w:r w:rsidRPr="004618D0">
              <w:rPr>
                <w:rFonts w:asciiTheme="majorEastAsia" w:eastAsiaTheme="majorEastAsia" w:hAnsiTheme="majorEastAsia"/>
                <w:szCs w:val="21"/>
                <w:vertAlign w:val="superscript"/>
              </w:rPr>
              <w:t>5</w:t>
            </w:r>
          </w:p>
        </w:tc>
        <w:tc>
          <w:tcPr>
            <w:tcW w:w="1800" w:type="dxa"/>
            <w:noWrap/>
          </w:tcPr>
          <w:p w:rsidR="006C66A2" w:rsidRPr="004618D0" w:rsidRDefault="0009534D">
            <w:pPr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4618D0">
              <w:rPr>
                <w:rFonts w:asciiTheme="majorEastAsia" w:eastAsiaTheme="majorEastAsia" w:hAnsiTheme="majorEastAsia" w:hint="eastAsia"/>
                <w:szCs w:val="21"/>
              </w:rPr>
              <w:t>1</w:t>
            </w:r>
            <w:r w:rsidRPr="004618D0">
              <w:rPr>
                <w:rFonts w:asciiTheme="majorEastAsia" w:eastAsiaTheme="majorEastAsia" w:hAnsiTheme="majorEastAsia"/>
                <w:szCs w:val="21"/>
              </w:rPr>
              <w:t>次/</w:t>
            </w:r>
            <w:r w:rsidRPr="004618D0">
              <w:rPr>
                <w:rFonts w:asciiTheme="majorEastAsia" w:eastAsiaTheme="majorEastAsia" w:hAnsiTheme="majorEastAsia" w:hint="eastAsia"/>
                <w:szCs w:val="21"/>
              </w:rPr>
              <w:t>月</w:t>
            </w:r>
          </w:p>
        </w:tc>
      </w:tr>
    </w:tbl>
    <w:p w:rsidR="006C66A2" w:rsidRPr="0091291F" w:rsidRDefault="006C66A2">
      <w:pPr>
        <w:spacing w:before="60" w:after="60" w:line="360" w:lineRule="exact"/>
        <w:ind w:left="420"/>
        <w:rPr>
          <w:rFonts w:asciiTheme="majorEastAsia" w:eastAsiaTheme="majorEastAsia" w:hAnsiTheme="majorEastAsia"/>
          <w:w w:val="80"/>
          <w:sz w:val="24"/>
        </w:rPr>
      </w:pPr>
    </w:p>
    <w:sectPr w:rsidR="006C66A2" w:rsidRPr="0091291F" w:rsidSect="006C66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1B8" w:rsidRDefault="00C901B8" w:rsidP="0009534D">
      <w:r>
        <w:separator/>
      </w:r>
    </w:p>
  </w:endnote>
  <w:endnote w:type="continuationSeparator" w:id="1">
    <w:p w:rsidR="00C901B8" w:rsidRDefault="00C901B8" w:rsidP="000953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1B8" w:rsidRDefault="00C901B8" w:rsidP="0009534D">
      <w:r>
        <w:separator/>
      </w:r>
    </w:p>
  </w:footnote>
  <w:footnote w:type="continuationSeparator" w:id="1">
    <w:p w:rsidR="00C901B8" w:rsidRDefault="00C901B8" w:rsidP="000953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1">
    <w:nsid w:val="00000011"/>
    <w:multiLevelType w:val="multilevel"/>
    <w:tmpl w:val="00000011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2">
    <w:nsid w:val="00000015"/>
    <w:multiLevelType w:val="multilevel"/>
    <w:tmpl w:val="00000015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3">
    <w:nsid w:val="0000001D"/>
    <w:multiLevelType w:val="multilevel"/>
    <w:tmpl w:val="0000001D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4">
    <w:nsid w:val="00000025"/>
    <w:multiLevelType w:val="multilevel"/>
    <w:tmpl w:val="00000025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5">
    <w:nsid w:val="00000027"/>
    <w:multiLevelType w:val="multilevel"/>
    <w:tmpl w:val="00000027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6">
    <w:nsid w:val="0000002A"/>
    <w:multiLevelType w:val="multilevel"/>
    <w:tmpl w:val="0000002A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7">
    <w:nsid w:val="00000039"/>
    <w:multiLevelType w:val="multilevel"/>
    <w:tmpl w:val="00000039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8">
    <w:nsid w:val="00000048"/>
    <w:multiLevelType w:val="multilevel"/>
    <w:tmpl w:val="00000048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9">
    <w:nsid w:val="0000004E"/>
    <w:multiLevelType w:val="multilevel"/>
    <w:tmpl w:val="0000004E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10">
    <w:nsid w:val="0000004F"/>
    <w:multiLevelType w:val="multilevel"/>
    <w:tmpl w:val="0000004F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11">
    <w:nsid w:val="0000005C"/>
    <w:multiLevelType w:val="multilevel"/>
    <w:tmpl w:val="0000005C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12">
    <w:nsid w:val="0000006B"/>
    <w:multiLevelType w:val="multilevel"/>
    <w:tmpl w:val="0000006B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13">
    <w:nsid w:val="0003F081"/>
    <w:multiLevelType w:val="multilevel"/>
    <w:tmpl w:val="0003F081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14">
    <w:nsid w:val="0003F084"/>
    <w:multiLevelType w:val="multilevel"/>
    <w:tmpl w:val="0003F084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15">
    <w:nsid w:val="0003F088"/>
    <w:multiLevelType w:val="multilevel"/>
    <w:tmpl w:val="0003F088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16">
    <w:nsid w:val="0003F08C"/>
    <w:multiLevelType w:val="multilevel"/>
    <w:tmpl w:val="0003F08C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17">
    <w:nsid w:val="0003F096"/>
    <w:multiLevelType w:val="multilevel"/>
    <w:tmpl w:val="0003F096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18">
    <w:nsid w:val="0003F099"/>
    <w:multiLevelType w:val="multilevel"/>
    <w:tmpl w:val="0003F099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19">
    <w:nsid w:val="0003F09F"/>
    <w:multiLevelType w:val="multilevel"/>
    <w:tmpl w:val="0003F09F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20">
    <w:nsid w:val="0003F0B9"/>
    <w:multiLevelType w:val="multilevel"/>
    <w:tmpl w:val="0003F0B9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21">
    <w:nsid w:val="0003F0BD"/>
    <w:multiLevelType w:val="multilevel"/>
    <w:tmpl w:val="0003F0BD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22">
    <w:nsid w:val="0003F0BF"/>
    <w:multiLevelType w:val="multilevel"/>
    <w:tmpl w:val="0003F0BF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23">
    <w:nsid w:val="0003F0C5"/>
    <w:multiLevelType w:val="multilevel"/>
    <w:tmpl w:val="0003F0C5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24">
    <w:nsid w:val="0003F0CE"/>
    <w:multiLevelType w:val="multilevel"/>
    <w:tmpl w:val="0003F0CE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25">
    <w:nsid w:val="0003F0DC"/>
    <w:multiLevelType w:val="multilevel"/>
    <w:tmpl w:val="0003F0DC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26">
    <w:nsid w:val="0DAD500E"/>
    <w:multiLevelType w:val="multilevel"/>
    <w:tmpl w:val="0DAD500E"/>
    <w:lvl w:ilvl="0">
      <w:start w:val="1"/>
      <w:numFmt w:val="decimal"/>
      <w:lvlText w:val="%1)"/>
      <w:lvlJc w:val="left"/>
      <w:pPr>
        <w:ind w:left="126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6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9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3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2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620" w:hanging="420"/>
      </w:pPr>
      <w:rPr>
        <w:rFonts w:cs="Times New Roman"/>
      </w:rPr>
    </w:lvl>
  </w:abstractNum>
  <w:abstractNum w:abstractNumId="27">
    <w:nsid w:val="38F540D2"/>
    <w:multiLevelType w:val="multilevel"/>
    <w:tmpl w:val="38F540D2"/>
    <w:lvl w:ilvl="0">
      <w:start w:val="1"/>
      <w:numFmt w:val="japaneseCounting"/>
      <w:lvlText w:val="%1、"/>
      <w:lvlJc w:val="left"/>
      <w:pPr>
        <w:ind w:left="480" w:hanging="48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4B635919"/>
    <w:multiLevelType w:val="multilevel"/>
    <w:tmpl w:val="4B635919"/>
    <w:lvl w:ilvl="0">
      <w:start w:val="1"/>
      <w:numFmt w:val="chineseCountingThousand"/>
      <w:lvlText w:val="(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524F715D"/>
    <w:multiLevelType w:val="multilevel"/>
    <w:tmpl w:val="524F715D"/>
    <w:lvl w:ilvl="0">
      <w:start w:val="1"/>
      <w:numFmt w:val="decimal"/>
      <w:lvlText w:val="%1、"/>
      <w:lvlJc w:val="left"/>
      <w:pPr>
        <w:ind w:left="314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8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30">
    <w:nsid w:val="5439609D"/>
    <w:multiLevelType w:val="multilevel"/>
    <w:tmpl w:val="5439609D"/>
    <w:lvl w:ilvl="0">
      <w:start w:val="1"/>
      <w:numFmt w:val="decimal"/>
      <w:lvlText w:val="%1)"/>
      <w:lvlJc w:val="left"/>
      <w:pPr>
        <w:ind w:left="84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num w:numId="1">
    <w:abstractNumId w:val="27"/>
  </w:num>
  <w:num w:numId="2">
    <w:abstractNumId w:val="29"/>
  </w:num>
  <w:num w:numId="3">
    <w:abstractNumId w:val="28"/>
    <w:lvlOverride w:ilvl="0">
      <w:startOverride w:val="1"/>
    </w:lvlOverride>
  </w:num>
  <w:num w:numId="4">
    <w:abstractNumId w:val="4"/>
  </w:num>
  <w:num w:numId="5">
    <w:abstractNumId w:val="11"/>
  </w:num>
  <w:num w:numId="6">
    <w:abstractNumId w:val="10"/>
  </w:num>
  <w:num w:numId="7">
    <w:abstractNumId w:val="6"/>
  </w:num>
  <w:num w:numId="8">
    <w:abstractNumId w:val="3"/>
  </w:num>
  <w:num w:numId="9">
    <w:abstractNumId w:val="7"/>
  </w:num>
  <w:num w:numId="10">
    <w:abstractNumId w:val="5"/>
  </w:num>
  <w:num w:numId="11">
    <w:abstractNumId w:val="8"/>
  </w:num>
  <w:num w:numId="12">
    <w:abstractNumId w:val="0"/>
  </w:num>
  <w:num w:numId="13">
    <w:abstractNumId w:val="1"/>
  </w:num>
  <w:num w:numId="14">
    <w:abstractNumId w:val="12"/>
  </w:num>
  <w:num w:numId="15">
    <w:abstractNumId w:val="2"/>
  </w:num>
  <w:num w:numId="16">
    <w:abstractNumId w:val="9"/>
  </w:num>
  <w:num w:numId="17">
    <w:abstractNumId w:val="15"/>
  </w:num>
  <w:num w:numId="18">
    <w:abstractNumId w:val="24"/>
  </w:num>
  <w:num w:numId="19">
    <w:abstractNumId w:val="22"/>
  </w:num>
  <w:num w:numId="20">
    <w:abstractNumId w:val="16"/>
  </w:num>
  <w:num w:numId="21">
    <w:abstractNumId w:val="19"/>
  </w:num>
  <w:num w:numId="22">
    <w:abstractNumId w:val="20"/>
  </w:num>
  <w:num w:numId="23">
    <w:abstractNumId w:val="18"/>
  </w:num>
  <w:num w:numId="24">
    <w:abstractNumId w:val="21"/>
  </w:num>
  <w:num w:numId="25">
    <w:abstractNumId w:val="13"/>
  </w:num>
  <w:num w:numId="26">
    <w:abstractNumId w:val="17"/>
  </w:num>
  <w:num w:numId="27">
    <w:abstractNumId w:val="25"/>
  </w:num>
  <w:num w:numId="28">
    <w:abstractNumId w:val="14"/>
  </w:num>
  <w:num w:numId="29">
    <w:abstractNumId w:val="23"/>
  </w:num>
  <w:num w:numId="30">
    <w:abstractNumId w:val="26"/>
  </w:num>
  <w:num w:numId="3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WNmMmJmN2RiNDkxMWYxNDJjZTkyMTczNzk5N2RhNDQifQ=="/>
  </w:docVars>
  <w:rsids>
    <w:rsidRoot w:val="00612DDE"/>
    <w:rsid w:val="0008072A"/>
    <w:rsid w:val="0009534D"/>
    <w:rsid w:val="000B4BAF"/>
    <w:rsid w:val="000E20B7"/>
    <w:rsid w:val="000F17D9"/>
    <w:rsid w:val="00120A41"/>
    <w:rsid w:val="00166C35"/>
    <w:rsid w:val="00173581"/>
    <w:rsid w:val="001C5DC8"/>
    <w:rsid w:val="001D540A"/>
    <w:rsid w:val="00251E8B"/>
    <w:rsid w:val="00281B00"/>
    <w:rsid w:val="0028528B"/>
    <w:rsid w:val="002C324D"/>
    <w:rsid w:val="00343BC3"/>
    <w:rsid w:val="00364BC6"/>
    <w:rsid w:val="00364FEC"/>
    <w:rsid w:val="00374B0A"/>
    <w:rsid w:val="00375140"/>
    <w:rsid w:val="003D22BC"/>
    <w:rsid w:val="0040649F"/>
    <w:rsid w:val="004618D0"/>
    <w:rsid w:val="00493307"/>
    <w:rsid w:val="004A5B03"/>
    <w:rsid w:val="00574AB4"/>
    <w:rsid w:val="005B5D47"/>
    <w:rsid w:val="005F022E"/>
    <w:rsid w:val="005F60F9"/>
    <w:rsid w:val="00612DDE"/>
    <w:rsid w:val="00621F69"/>
    <w:rsid w:val="006666A6"/>
    <w:rsid w:val="00672B1D"/>
    <w:rsid w:val="006B63EF"/>
    <w:rsid w:val="006C66A2"/>
    <w:rsid w:val="006D3066"/>
    <w:rsid w:val="006D4772"/>
    <w:rsid w:val="006D480E"/>
    <w:rsid w:val="00733ED7"/>
    <w:rsid w:val="00755BA4"/>
    <w:rsid w:val="00786E3A"/>
    <w:rsid w:val="007B09FA"/>
    <w:rsid w:val="007C1802"/>
    <w:rsid w:val="007F5A01"/>
    <w:rsid w:val="008B3350"/>
    <w:rsid w:val="008F2CC9"/>
    <w:rsid w:val="008F6C1E"/>
    <w:rsid w:val="0091291F"/>
    <w:rsid w:val="009524F7"/>
    <w:rsid w:val="00974CD5"/>
    <w:rsid w:val="00A01AB2"/>
    <w:rsid w:val="00A70CF5"/>
    <w:rsid w:val="00A94347"/>
    <w:rsid w:val="00AD0CA5"/>
    <w:rsid w:val="00AF517A"/>
    <w:rsid w:val="00B673BF"/>
    <w:rsid w:val="00B83477"/>
    <w:rsid w:val="00B84568"/>
    <w:rsid w:val="00BA1D4E"/>
    <w:rsid w:val="00BE71FE"/>
    <w:rsid w:val="00BF40C4"/>
    <w:rsid w:val="00C019FB"/>
    <w:rsid w:val="00C45288"/>
    <w:rsid w:val="00C45941"/>
    <w:rsid w:val="00C52607"/>
    <w:rsid w:val="00C5546B"/>
    <w:rsid w:val="00C676D5"/>
    <w:rsid w:val="00C901B8"/>
    <w:rsid w:val="00C93DB5"/>
    <w:rsid w:val="00C97559"/>
    <w:rsid w:val="00CD14B9"/>
    <w:rsid w:val="00CE64F9"/>
    <w:rsid w:val="00D03D41"/>
    <w:rsid w:val="00D23DAC"/>
    <w:rsid w:val="00DA00BA"/>
    <w:rsid w:val="00DA43E8"/>
    <w:rsid w:val="00DB5046"/>
    <w:rsid w:val="00DB5ABB"/>
    <w:rsid w:val="00DE5034"/>
    <w:rsid w:val="00DE688B"/>
    <w:rsid w:val="00E60CF6"/>
    <w:rsid w:val="00E77CB0"/>
    <w:rsid w:val="00E77E67"/>
    <w:rsid w:val="00EE67E8"/>
    <w:rsid w:val="00F1233E"/>
    <w:rsid w:val="00F52B29"/>
    <w:rsid w:val="00FB1634"/>
    <w:rsid w:val="0AE01B63"/>
    <w:rsid w:val="10E852CE"/>
    <w:rsid w:val="11333AD8"/>
    <w:rsid w:val="223D0F38"/>
    <w:rsid w:val="453B3336"/>
    <w:rsid w:val="526E2B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6A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1"/>
    <w:qFormat/>
    <w:rsid w:val="006C66A2"/>
    <w:pPr>
      <w:keepNext/>
      <w:keepLines/>
      <w:spacing w:before="340" w:after="330" w:line="576" w:lineRule="auto"/>
      <w:outlineLvl w:val="0"/>
    </w:pPr>
    <w:rPr>
      <w:rFonts w:ascii="Times New Roman" w:eastAsia="宋体" w:hAnsi="Times New Roman" w:cs="Times New Roman"/>
      <w:b/>
      <w:kern w:val="44"/>
      <w:sz w:val="44"/>
      <w:szCs w:val="20"/>
    </w:rPr>
  </w:style>
  <w:style w:type="paragraph" w:styleId="2">
    <w:name w:val="heading 2"/>
    <w:basedOn w:val="a"/>
    <w:next w:val="a"/>
    <w:link w:val="2Char1"/>
    <w:autoRedefine/>
    <w:unhideWhenUsed/>
    <w:qFormat/>
    <w:rsid w:val="006C66A2"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32"/>
      <w:szCs w:val="32"/>
    </w:rPr>
  </w:style>
  <w:style w:type="paragraph" w:styleId="3">
    <w:name w:val="heading 3"/>
    <w:basedOn w:val="a"/>
    <w:next w:val="a"/>
    <w:autoRedefine/>
    <w:qFormat/>
    <w:rsid w:val="006C66A2"/>
    <w:pPr>
      <w:keepNext/>
      <w:keepLines/>
      <w:spacing w:line="416" w:lineRule="auto"/>
      <w:jc w:val="center"/>
      <w:outlineLvl w:val="2"/>
    </w:pPr>
    <w:rPr>
      <w:rFonts w:ascii="Calibri" w:hAnsi="Calibr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semiHidden/>
    <w:unhideWhenUsed/>
    <w:qFormat/>
    <w:rsid w:val="006C66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6C66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autoRedefine/>
    <w:uiPriority w:val="59"/>
    <w:qFormat/>
    <w:rsid w:val="006C66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autoRedefine/>
    <w:uiPriority w:val="99"/>
    <w:semiHidden/>
    <w:qFormat/>
    <w:rsid w:val="006C66A2"/>
    <w:rPr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semiHidden/>
    <w:qFormat/>
    <w:rsid w:val="006C66A2"/>
    <w:rPr>
      <w:sz w:val="18"/>
      <w:szCs w:val="18"/>
    </w:rPr>
  </w:style>
  <w:style w:type="paragraph" w:styleId="a6">
    <w:name w:val="List Paragraph"/>
    <w:basedOn w:val="a"/>
    <w:autoRedefine/>
    <w:uiPriority w:val="34"/>
    <w:qFormat/>
    <w:rsid w:val="006C66A2"/>
    <w:pPr>
      <w:ind w:firstLineChars="200" w:firstLine="420"/>
    </w:pPr>
  </w:style>
  <w:style w:type="character" w:customStyle="1" w:styleId="1Char">
    <w:name w:val="标题 1 Char"/>
    <w:basedOn w:val="a0"/>
    <w:link w:val="1"/>
    <w:autoRedefine/>
    <w:uiPriority w:val="9"/>
    <w:qFormat/>
    <w:rsid w:val="006C66A2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autoRedefine/>
    <w:uiPriority w:val="9"/>
    <w:semiHidden/>
    <w:qFormat/>
    <w:rsid w:val="006C66A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1">
    <w:name w:val="标题 1 Char1"/>
    <w:link w:val="1"/>
    <w:autoRedefine/>
    <w:qFormat/>
    <w:rsid w:val="006C66A2"/>
    <w:rPr>
      <w:rFonts w:ascii="Times New Roman" w:eastAsia="宋体" w:hAnsi="Times New Roman" w:cs="Times New Roman"/>
      <w:b/>
      <w:kern w:val="44"/>
      <w:sz w:val="44"/>
      <w:szCs w:val="20"/>
    </w:rPr>
  </w:style>
  <w:style w:type="character" w:customStyle="1" w:styleId="2Char1">
    <w:name w:val="标题 2 Char1"/>
    <w:link w:val="2"/>
    <w:autoRedefine/>
    <w:qFormat/>
    <w:rsid w:val="006C66A2"/>
    <w:rPr>
      <w:rFonts w:ascii="Cambria" w:eastAsia="宋体" w:hAnsi="Cambria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761</Words>
  <Characters>4340</Characters>
  <Application>Microsoft Office Word</Application>
  <DocSecurity>0</DocSecurity>
  <Lines>36</Lines>
  <Paragraphs>10</Paragraphs>
  <ScaleCrop>false</ScaleCrop>
  <Company>Microsoft</Company>
  <LinksUpToDate>false</LinksUpToDate>
  <CharactersWithSpaces>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sbk-111</cp:lastModifiedBy>
  <cp:revision>3</cp:revision>
  <dcterms:created xsi:type="dcterms:W3CDTF">2026-05-13T06:09:00Z</dcterms:created>
  <dcterms:modified xsi:type="dcterms:W3CDTF">2026-05-13T06:11:00Z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6AEC2ACB284C4D3D9790EC58CB1DE57A_13</vt:lpwstr>
  </property>
</Properties>
</file>